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2c63ca33344b45a8" /></Relationships>
</file>

<file path=word/document.xml><?xml version="1.0" encoding="utf-8"?>
<w:document xmlns:w="http://schemas.openxmlformats.org/wordprocessingml/2006/main">
  <w:body>
    <w:tbl>
      <w:tblPr>
        <w:tblW w:w="9000" w:type="dxa"/>
        <w:tblBorders>
          <w:top w:val="nil"/>
          <w:bottom w:val="nil"/>
          <w:left w:val="nil"/>
          <w:right w:val="nil"/>
          <w:insideH w:val="nil"/>
          <w:insideV w:val="nil"/>
        </w:tblBorders>
        <w:tblCellSpacing w:w="60" w:type="dxa"/>
        <w:shd w:val="clear" w:color="auto" w:fill="E7F0F9"/>
      </w:tblPr>
      <w:tblGrid>
        <w:gridCol w:w="1200"/>
        <w:gridCol w:w="4500"/>
      </w:tblGrid>
      <w:tr>
        <w:tc>
          <w:tcPr>
            <w:tcW w:w="1200" w:type="pct"/>
            <w:shd w:val="clear" w:color="auto" w:fill="E7F0F9"/>
          </w:tcPr>
          <w:p>
            <w:pPr>
              <w:spacing w:before="0" w:after="0" w:line="240" w:lineRule="auto"/>
              <w:jc w:val="left"/>
            </w:pPr>
            <w:r>
              <w:rPr>
                <w:b/>
              </w:rPr>
              <w:t xml:space="preserve">RKP broj</w:t>
            </w:r>
          </w:p>
        </w:tc>
        <w:tc>
          <w:tcPr>
            <w:shd w:val="clear" w:color="auto" w:fill="E7F0F9"/>
          </w:tcPr>
          <w:p>
            <w:pPr>
              <w:spacing w:before="0" w:after="0" w:line="240" w:lineRule="auto"/>
              <w:jc w:val="left"/>
            </w:pPr>
            <w:r>
              <w:t xml:space="preserve">44565</w:t>
            </w:r>
          </w:p>
        </w:tc>
      </w:tr>
      <w:tr>
        <w:tc>
          <w:tcPr>
            <w:tcW w:w="1200" w:type="pct"/>
            <w:shd w:val="clear" w:color="auto" w:fill="E7F0F9"/>
          </w:tcPr>
          <w:p>
            <w:pPr>
              <w:spacing w:before="0" w:after="0" w:line="240" w:lineRule="auto"/>
              <w:jc w:val="left"/>
            </w:pPr>
            <w:r>
              <w:rPr>
                <w:b/>
              </w:rPr>
              <w:t xml:space="preserve">Naziv obveznika</w:t>
            </w:r>
          </w:p>
        </w:tc>
        <w:tc>
          <w:tcPr>
            <w:shd w:val="clear" w:color="auto" w:fill="E7F0F9"/>
          </w:tcPr>
          <w:p>
            <w:pPr>
              <w:spacing w:before="0" w:after="0" w:line="240" w:lineRule="auto"/>
              <w:jc w:val="left"/>
            </w:pPr>
            <w:r>
              <w:t xml:space="preserve">HRVATSKA AGENCIJA ZA POLJOPRIVREDU I HRANU</w:t>
            </w:r>
          </w:p>
        </w:tc>
      </w:tr>
      <w:tr>
        <w:tc>
          <w:tcPr>
            <w:tcW w:w="1200" w:type="pct"/>
            <w:shd w:val="clear" w:color="auto" w:fill="E7F0F9"/>
          </w:tcPr>
          <w:p>
            <w:pPr>
              <w:spacing w:before="0" w:after="0" w:line="240" w:lineRule="auto"/>
              <w:jc w:val="left"/>
            </w:pPr>
            <w:r>
              <w:rPr>
                <w:b/>
              </w:rPr>
              <w:t xml:space="preserve">Razina</w:t>
            </w:r>
          </w:p>
        </w:tc>
        <w:tc>
          <w:tcPr>
            <w:shd w:val="clear" w:color="auto" w:fill="E7F0F9"/>
          </w:tcPr>
          <w:p>
            <w:pPr>
              <w:spacing w:before="0" w:after="0" w:line="240" w:lineRule="auto"/>
              <w:jc w:val="left"/>
            </w:pPr>
            <w:r>
              <w:t xml:space="preserve">11</w:t>
            </w:r>
          </w:p>
        </w:tc>
      </w:tr>
    </w:tbl>
    <w:p>
      <w:r>
        <w:br/>
      </w:r>
    </w:p>
    <w:p>
      <w:pPr>
        <w:jc w:val="center"/>
        <w:pStyle w:val="Normal"/>
        <w:spacing w:line="240" w:lineRule="auto"/>
      </w:pPr>
      <w:r>
        <w:rPr>
          <w:b/>
          <w:sz w:val="28"/>
          <w:rFonts w:ascii="Times New Roman" w:hAnsi="Times New Roman"/>
        </w:rPr>
        <w:t xml:space="preserve">BILJEŠKE UZ FINANCIJSKE IZVJEŠTAJE</w:t>
      </w:r>
    </w:p>
    <w:p>
      <w:pPr>
        <w:jc w:val="center"/>
        <w:pStyle w:val="Normal"/>
        <w:spacing w:line="240" w:lineRule="auto"/>
      </w:pPr>
      <w:r>
        <w:rPr>
          <w:b/>
          <w:sz w:val="28"/>
          <w:rFonts w:ascii="Times New Roman" w:hAnsi="Times New Roman"/>
        </w:rPr>
        <w:t xml:space="preserve">ZA RAZDOBLJE</w:t>
      </w:r>
    </w:p>
    <w:p>
      <w:pPr>
        <w:jc w:val="center"/>
        <w:pStyle w:val="Normal"/>
        <w:spacing w:line="240" w:lineRule="auto"/>
      </w:pPr>
      <w:r>
        <w:rPr>
          <w:b/>
          <w:sz w:val="28"/>
          <w:rFonts w:ascii="Times New Roman" w:hAnsi="Times New Roman"/>
        </w:rPr>
        <w:t xml:space="preserve">I - XII 2025.</w:t>
      </w:r>
    </w:p>
    <w:p/>
    <w:p>
      <w:pPr>
        <w:jc w:val="center"/>
        <w:pStyle w:val="Normal"/>
        <w:spacing w:line="240" w:lineRule="auto"/>
        <w:keepNext/>
      </w:pPr>
      <w:r>
        <w:rPr>
          <w:b/>
          <w:sz w:val="28"/>
          <w:rFonts w:ascii="Times New Roman" w:hAnsi="Times New Roman"/>
        </w:rPr>
        <w:t xml:space="preserve">Izvještaj o prihodima i rashodima, primicima i izdacima</w:t>
      </w:r>
    </w:p>
    <w:p>
      <w:pPr>
        <w:jc w:val="center"/>
        <w:pStyle w:val="Normal"/>
        <w:spacing w:line="240" w:lineRule="auto"/>
        <w:keepNext/>
      </w:pPr>
      <w:r>
        <w:rPr>
          <w:sz w:val="28"/>
          <w:rFonts w:ascii="Times New Roman" w:hAnsi="Times New Roman"/>
        </w:rPr>
        <w:t xml:space="preserve">Bilješka 1.</w:t>
      </w:r>
    </w:p>
    <w:tbl>
      <w:tblPr>
        <w:tblBorders>
          <w:top w:val="single" w:color="BABABA" w:sz="12"/>
          <w:bottom w:val="single" w:color="BABABA" w:sz="12"/>
          <w:left w:val="single" w:color="BABABA" w:sz="12"/>
          <w:right w:val="single" w:color="BABABA" w:sz="12"/>
          <w:insideH w:val="single" w:color="BABABA" w:sz="8"/>
          <w:insideV w:val="single" w:color="DADADA" w:sz="8"/>
        </w:tblBorders>
        <w:tblW w:w="0" w:type="auto"/>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POSLOVANJA (šifre 61+62+63+64+65+66+67+68)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20.303.468,08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24.348.578,24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119,9</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POSLOVANJA (šifre 31+32+34+35+36+37+38)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19.513.485,42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22.988.421,93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117,8</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 PRIHODA POSLOVANJA (šifre 6-Z005)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789.982,66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1.360.156,31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172,2</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prodaje nefinancijske imovine (šifre 71+72+73+74)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nabavu nefinancijske imovine (šifre 41+42+43+44+45)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851.774,84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1.711.089,99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200,9</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OD NEFINANCIJSKE IMOVINE (šifre 4-7)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851.774,84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1.711.089,99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200,9</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Primici od financijske imovine i zaduživanja (šifre 81+82+83+84+85)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Izdaci za financijsku imovinu i otplate zajmova (šifre 51+52+53+54+55)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22.609,81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23.343,94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103,2</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PRIMITAKA OD FINANCIJSKE IMOVINE I ZADUŽIVANJA (šifre 5-8)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22.609,81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23.343,94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103,2</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I PRIMITAKA (šifre Y345-X678)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84.401,99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374.277,62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443,4</w:t>
            </w:r>
          </w:p>
        </w:tc>
      </w:tr>
    </w:tbl>
    <w:p>
      <w:pPr>
        <w:spacing w:before="0" w:after="0"/>
      </w:pPr>
    </w:p>
    <w:p>
      <w:r>
        <w:t xml:space="preserve">Hrvatska agencija za poljoprivredu i hranu za 2025. godinu u svom poslovanju ostvarila je prihode poslovanja u iznosu od 24.348.578,24 EUR, što je povećanje od 19,9% u odnosu na 2024. godinu.  Najveći dio prihoda čine prihodi iz nadležnog proračuna za financiranje redovne djelatnosti proračunskih korisnika u iznosu od 21.176.504,45 EUR (vrijednosno najznačajniji prihodi odnose se na prihode za plaće za redovan rad i pripadajuće doprinose) te prihodi po posebnim propisima u iznosu od 1.829.367,18 EUR koje Agencija naplaćuje obavljanjem javnih ovlasti po Zakonu o sjemenu, sadnom materijalu i priznavanju sorti poljoprivrednog bilja; Zakonu o zaštiti biljnih sorti; Zakonu o uzgoju domaćih životinja, Zakonu o poljoprivredi, Zakonu o biljnom zdravstvu, Zakonu o službenim kontrolama; Zakonu o provedbi Uredbe (EZ) br. 1107/2009 o stavljanju na tržište sredstava za zaštitu bilja; Zakonu o održivoj uporabi pesticida.   </w:t>
      </w:r>
    </w:p>
    <w:p>
      <w:r>
        <w:t xml:space="preserve">U 2025. godini Agencija je u svom poslovanju ostvarila rashode poslovanja u iznosu od 22.988.421,93 EUR, što je povećanje od 17,8% u odnosu na 2024. godinu. Ostvareni rashodi najvećim dijelom odnose se na rashode za zaposlene u iznosu od 15.551.519,40 EUR te na materijalne rashode u iznosu od 7.404.560,78 EUR.  Višak prihoda poslovanja u 2025. godini iznosi 1.360.156,31 EUR.</w:t>
      </w:r>
    </w:p>
    <w:p>
      <w:r>
        <w:t xml:space="preserve">Rashodi za nabavu nefinancijske imovine za 2025. godinu iznose 1.711.089,99 EUR. Odnose se na rashode za nabavu licenci,  uredske opreme i namještaja, računala, laboratorijske opreme i vozila.   Manjak prihoda od nefinancijske imovine u 2025. godini iznosi 1.711.089,99 EUR.</w:t>
      </w:r>
    </w:p>
    <w:p>
      <w:r>
        <w:t xml:space="preserve">Ukupni izdaci za financijsku imovinu i otplate zajmova za 2025. godini iznose 23.343,94 EUR i odnose se na izdatke za nabavu vozila putem leasinga.</w:t>
      </w:r>
    </w:p>
    <w:p>
      <w:r>
        <w:t xml:space="preserve">U 2025. godini bilježi se ukupan manjak prihoda u iznosu od 374.277,62 EUR.</w:t>
      </w:r>
    </w:p>
    <w:p>
      <w:r>
        <w:br/>
      </w:r>
    </w:p>
    <w:p>
      <w:pPr>
        <w:jc w:val="center"/>
        <w:pStyle w:val="Normal"/>
        <w:spacing w:line="240" w:lineRule="auto"/>
        <w:keepNext/>
      </w:pPr>
      <w:r>
        <w:rPr>
          <w:b/>
          <w:sz w:val="28"/>
          <w:rFonts w:ascii="Times New Roman" w:hAnsi="Times New Roman"/>
        </w:rPr>
        <w:t xml:space="preserve">Bilanca</w:t>
      </w:r>
    </w:p>
    <w:p>
      <w:pPr>
        <w:jc w:val="center"/>
        <w:pStyle w:val="Normal"/>
        <w:spacing w:line="240" w:lineRule="auto"/>
        <w:keepNext/>
      </w:pPr>
      <w:r>
        <w:rPr>
          <w:sz w:val="28"/>
          <w:rFonts w:ascii="Times New Roman" w:hAnsi="Times New Roman"/>
        </w:rPr>
        <w:t xml:space="preserve">Bilješka 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1. siječnja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31. prosinca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239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Ostale tekuće obveze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239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270.270,58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87.835,64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32,5</w:t>
            </w:r>
          </w:p>
        </w:tc>
      </w:tr>
    </w:tbl>
    <w:p>
      <w:pPr>
        <w:spacing w:before="0" w:after="0"/>
      </w:pPr>
    </w:p>
    <w:p>
      <w:r>
        <w:t xml:space="preserve">Obveze za ostale tekuće obveze evidentirane na kontu 239 manje su odnosu na 2024. godinu jer su obveze za predujmove sa 01.01.2025. evidentirane unutar skupine 27.</w:t>
      </w:r>
    </w:p>
    <w:p/>
    <w:p>
      <w:pPr>
        <w:jc w:val="center"/>
        <w:pStyle w:val="Normal"/>
        <w:spacing w:line="240" w:lineRule="auto"/>
        <w:keepNext/>
      </w:pPr>
      <w:r>
        <w:rPr>
          <w:sz w:val="28"/>
          <w:rFonts w:ascii="Times New Roman" w:hAnsi="Times New Roman"/>
        </w:rPr>
        <w:t xml:space="preserve">Bilješka 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1. siječnja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31. prosinca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24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Obveze za nabavu nefinancijske imovine (šifre 241 do 245)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24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4.876,56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27.593,81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565,8</w:t>
            </w:r>
          </w:p>
        </w:tc>
      </w:tr>
    </w:tbl>
    <w:p>
      <w:pPr>
        <w:spacing w:before="0" w:after="0"/>
      </w:pPr>
    </w:p>
    <w:p>
      <w:r>
        <w:t xml:space="preserve">Obveze za nabavu proizvedene dugotrajne imovine u iznosu 27.593,81 EUR odnose se na obveze za nabavu opreme po fakturi iz 2025. koja dospijeva u 2026. godini.</w:t>
      </w:r>
    </w:p>
    <w:p/>
    <w:p>
      <w:pPr>
        <w:jc w:val="center"/>
        <w:pStyle w:val="Normal"/>
        <w:spacing w:line="240" w:lineRule="auto"/>
        <w:keepNext/>
      </w:pPr>
      <w:r>
        <w:rPr>
          <w:sz w:val="28"/>
          <w:rFonts w:ascii="Times New Roman" w:hAnsi="Times New Roman"/>
        </w:rPr>
        <w:t xml:space="preserve">Bilješka 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1. siječnja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31. prosinca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242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Obveze za nabavu proizvedene dugotrajne imovine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242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1.569,06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27.593,81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1758,6</w:t>
            </w:r>
          </w:p>
        </w:tc>
      </w:tr>
    </w:tbl>
    <w:p>
      <w:pPr>
        <w:spacing w:before="0" w:after="0"/>
      </w:pPr>
    </w:p>
    <w:p>
      <w:r>
        <w:t xml:space="preserve">Obveze za nabavu proizvedene dugotrajne imovine u iznosu 27.593,81 EUR odnose se na obveze za nabavu opreme po fakturi iz 2025. koja dospijeva u 2026. godini.</w:t>
      </w:r>
    </w:p>
    <w:p/>
    <w:p>
      <w:pPr>
        <w:jc w:val="center"/>
        <w:pStyle w:val="Normal"/>
        <w:spacing w:line="240" w:lineRule="auto"/>
        <w:keepNext/>
      </w:pPr>
      <w:r>
        <w:rPr>
          <w:sz w:val="28"/>
          <w:rFonts w:ascii="Times New Roman" w:hAnsi="Times New Roman"/>
        </w:rPr>
        <w:t xml:space="preserve">Bilješka 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1. siječnja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31. prosinca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27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Obveze za predujmove, depozite, jamčevne pologe i tuđe prihode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27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235.227,72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r>
        <w:t xml:space="preserve">Obveze za za predujmove koje su u prethodnoj godini bile evidentirane na kontu 239  sa 01.01.2025. evidentirane su unutar skupine 27.</w:t>
      </w:r>
    </w:p>
    <w:p/>
    <w:p>
      <w:pPr>
        <w:jc w:val="center"/>
        <w:pStyle w:val="Normal"/>
        <w:spacing w:line="240" w:lineRule="auto"/>
        <w:keepNext/>
      </w:pPr>
      <w:r>
        <w:rPr>
          <w:sz w:val="28"/>
          <w:rFonts w:ascii="Times New Roman" w:hAnsi="Times New Roman"/>
        </w:rPr>
        <w:t xml:space="preserve">Bilješka 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1. siječnja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31. prosinca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96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Obračunati prihodi poslovanja (šifre 961 do 963 + 964 do 968)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96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373.059,81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811.623,81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217,6</w:t>
            </w:r>
          </w:p>
        </w:tc>
      </w:tr>
    </w:tbl>
    <w:p>
      <w:pPr>
        <w:spacing w:before="0" w:after="0"/>
      </w:pPr>
    </w:p>
    <w:p>
      <w:r>
        <w:t xml:space="preserve">Obračunati prihodi poslovanja veći su u odnosu na isto razdoblje 2024. godine zbog povećanja fakturiranih usluga koje Agencija obavlja putem javnih ovlasti i obavljanjem djelatnosti na tržištu.</w:t>
      </w:r>
    </w:p>
    <w:p/>
    <w:p>
      <w:pPr>
        <w:jc w:val="center"/>
        <w:pStyle w:val="Normal"/>
        <w:spacing w:line="240" w:lineRule="auto"/>
        <w:keepNext/>
      </w:pPr>
      <w:r>
        <w:rPr>
          <w:sz w:val="28"/>
          <w:rFonts w:ascii="Times New Roman" w:hAnsi="Times New Roman"/>
        </w:rPr>
        <w:t xml:space="preserve">Bilješka 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1. siječnja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31. prosinca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964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Obračunati prihodi od imovine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964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79.149,27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355.139,89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448,7</w:t>
            </w:r>
          </w:p>
        </w:tc>
      </w:tr>
    </w:tbl>
    <w:p>
      <w:pPr>
        <w:spacing w:before="0" w:after="0"/>
      </w:pPr>
    </w:p>
    <w:p>
      <w:r>
        <w:t xml:space="preserve">Obračunati prihodi poslovanja veći su u odnosu na isto razdoblje 2024. godine zbog povećanja fakturiranih usluga koje Agencija obavlja putem javnih ovlasti i obavljanjem djelatnosti na tržištu.</w:t>
      </w:r>
    </w:p>
    <w:p/>
    <w:p>
      <w:pPr>
        <w:jc w:val="center"/>
        <w:pStyle w:val="Normal"/>
        <w:spacing w:line="240" w:lineRule="auto"/>
        <w:keepNext/>
      </w:pPr>
      <w:r>
        <w:rPr>
          <w:sz w:val="28"/>
          <w:rFonts w:ascii="Times New Roman" w:hAnsi="Times New Roman"/>
        </w:rPr>
        <w:t xml:space="preserve">Bilješka 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1. siječnja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31. prosinca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965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Obračunati prihodi od upravnih i administrativnih pristojbi, pristojbi po posebnim propisima i naknada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965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200.914,86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368.319,39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183,3</w:t>
            </w:r>
          </w:p>
        </w:tc>
      </w:tr>
    </w:tbl>
    <w:p>
      <w:pPr>
        <w:spacing w:before="0" w:after="0"/>
      </w:pPr>
    </w:p>
    <w:p>
      <w:r>
        <w:t xml:space="preserve">Obračunati prihodi poslovanja veći su u odnosu na isto razdoblje 2024. godine zbog povećanja fakturiranih usluga koje Agencija obavlja putem javnih ovlasti i obavljanjem djelatnosti na tržištu.</w:t>
      </w:r>
    </w:p>
    <w:p/>
    <w:p>
      <w:pPr>
        <w:jc w:val="center"/>
        <w:pStyle w:val="Normal"/>
        <w:spacing w:line="240" w:lineRule="auto"/>
        <w:keepNext/>
      </w:pPr>
      <w:r>
        <w:rPr>
          <w:sz w:val="28"/>
          <w:rFonts w:ascii="Times New Roman" w:hAnsi="Times New Roman"/>
        </w:rPr>
        <w:t xml:space="preserve">Bilješka 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1. siječnja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Stanje 31. prosinca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99651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Potencijalne obveze po osnovi sudskih sporova u tijeku</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99651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115.785,18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451.807,87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390,2</w:t>
            </w:r>
          </w:p>
        </w:tc>
      </w:tr>
    </w:tbl>
    <w:p>
      <w:pPr>
        <w:spacing w:before="0" w:after="0"/>
      </w:pPr>
    </w:p>
    <w:p>
      <w:r>
        <w:t xml:space="preserve">Potencijalne obveze po osnovi sudskih sporova veći su u odnosu na 2024. godinu zbog tužbi radnika kojima je tijekom ranijih godina ukinut dodatak za posebne uvjete rada. Isplata po pravomoćnim presudama očekuje se tijekom 2026. godine.</w:t>
      </w:r>
    </w:p>
    <w:p/>
    <w:p>
      <w:pPr>
        <w:jc w:val="center"/>
        <w:pStyle w:val="Normal"/>
        <w:spacing w:line="240" w:lineRule="auto"/>
        <w:keepNext/>
      </w:pPr>
      <w:r>
        <w:rPr>
          <w:b/>
          <w:sz w:val="28"/>
          <w:rFonts w:ascii="Times New Roman" w:hAnsi="Times New Roman"/>
        </w:rPr>
        <w:t xml:space="preserve">Promjene u vrijednosti i obujmu imovine i obveza</w:t>
      </w:r>
    </w:p>
    <w:p>
      <w:pPr>
        <w:jc w:val="center"/>
        <w:pStyle w:val="Normal"/>
        <w:spacing w:line="240" w:lineRule="auto"/>
        <w:keepNext/>
      </w:pPr>
      <w:r>
        <w:rPr>
          <w:sz w:val="28"/>
          <w:rFonts w:ascii="Times New Roman" w:hAnsi="Times New Roman"/>
        </w:rPr>
        <w:t xml:space="preserve">Bilješka 10.</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Iznos povećanja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Iznos smanjenja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Promjene u vrijednosti nefinancijske imovine (šifre P002 do P007)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P001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1.598.016,10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r>
        <w:t xml:space="preserve">Na promjenama u vrijednosti imovine iskazano je smanjenje za iznos ukupnog ispravka vrijednosti neproizvedene i proizvedene dugotrajna imovina te sitnog inventara i autoguma</w:t>
      </w:r>
    </w:p>
    <w:p/>
    <w:p>
      <w:pPr>
        <w:jc w:val="center"/>
        <w:pStyle w:val="Normal"/>
        <w:spacing w:line="240" w:lineRule="auto"/>
        <w:keepNext/>
      </w:pPr>
      <w:r>
        <w:rPr>
          <w:b/>
          <w:sz w:val="28"/>
          <w:rFonts w:ascii="Times New Roman" w:hAnsi="Times New Roman"/>
        </w:rPr>
        <w:t xml:space="preserve">Izvještaj o obvezama</w:t>
      </w:r>
    </w:p>
    <w:p>
      <w:pPr>
        <w:jc w:val="center"/>
        <w:pStyle w:val="Normal"/>
        <w:spacing w:line="240" w:lineRule="auto"/>
        <w:keepNext/>
      </w:pPr>
      <w:r>
        <w:rPr>
          <w:sz w:val="28"/>
          <w:rFonts w:ascii="Times New Roman" w:hAnsi="Times New Roman"/>
        </w:rPr>
        <w:t xml:space="preserve">Bilješka 11.</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Iznos</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Stanje dospjelih obveza na kraju izvještajnog razdoblja (šifre V008+D23+D24 + 'D dio 25,26' + D27)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V007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18.322,83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r>
        <w:t xml:space="preserve">Ukupno dospjele obveze na dan 31.12.2025. godine iznose 18.322,83 EUR i nastale su zbog procedure kod zaprimanja računa, kompletiranja dokumentacije, dobivanja potvrda ili izvještaja o izvršenim uslugama te u konačnici odobravanja računa od strane odgovorne osobe. Poštujući proceduru odobravanja računa  dogodi se da određeni računi nisu plaćeni sukladno navedenoj valuti. Također je čest slučaj da pojedini dobavljači na računima navode prekratak rok plaćanja koji se obzirom na procedure unutar Agencije ne može poštivati. Najveći dio dospjelih obveza bilježi prekoračenje 1 do 60 dana. Obveze koje se odnose na prekoračenje do 360 dana odnose se na obveze koje Agencija ima prema osiguravajućoj kući za osiguranje usjeva i nasada, a koje osiguravajućoj kući direktno podmiruje APPRRR.</w:t>
      </w:r>
    </w:p>
    <w:p/>
    <w:p>
      <w:pPr>
        <w:jc w:val="center"/>
        <w:pStyle w:val="Normal"/>
        <w:spacing w:line="240" w:lineRule="auto"/>
        <w:keepNext/>
      </w:pPr>
      <w:r>
        <w:rPr>
          <w:sz w:val="28"/>
          <w:rFonts w:ascii="Times New Roman" w:hAnsi="Times New Roman"/>
        </w:rPr>
        <w:t xml:space="preserve">Bilješka 12.</w:t>
      </w:r>
    </w:p>
    <w:p>
      <w:pPr>
        <w:jc w:val="both"/>
        <w:pStyle w:val="Normal"/>
        <w:spacing w:line="240" w:lineRule="auto"/>
      </w:pPr>
      <w:r>
        <w:rPr>
          <w:b/>
          <w:sz w:val="24"/>
          <w:rFonts w:ascii="Times New Roman" w:hAnsi="Times New Roman"/>
        </w:rPr>
        <w:t xml:space="preserve">EU izvještaj</w:t>
      </w:r>
    </w:p>
    <w:p>
      <w:r>
        <w:t xml:space="preserve">Tijekom 2025. godine Agencija je imala 4 aktivna EU projekta za koje su prihodi i rashodi evidentirani u sklopu izvora financiranja 12 i novog izvora finanaciranja 563.</w:t>
      </w:r>
    </w:p>
    <w:p>
      <w:r>
        <w:t xml:space="preserve">Ukupni prihodi evidentirani na izvoru financiranja 12 (Nacionalno sufinanciranje) iznosili su 39.455,16 eura, dok su rashodi poslovanja iznosili 18.596,00 EUR, a rashodi za nabavu nefinancijske imovine 21.475,54 EUR. Nacionalno sufinanciranje na 3 projekta iznosi 15%, dok je u jednom projektu 20%. U izvanbilančnim zapisima na izvoru 12 evidentirana su potraživanja po preuzetim ugovorima o dodjeljenim bespovratnim sredstavima iz EU fondova u iznosu od 280.498,03 EUR.</w:t>
      </w:r>
    </w:p>
    <w:p>
      <w:r>
        <w:t xml:space="preserve">Na izvoru 510 evidentirana su sredstva koja Agencija zaprimi od Europske agencije za sigurnost hrane. Projekt je u potpunosti bio predfinanciran i nema obveze financijskog izvještavanja kroz slanje ZNS-ova. Ukupni prihodi poslovanja iznosili su 170.353,85 EUR dok su rashodi poslovanja iznosili 205.679,63 EUR. </w:t>
      </w:r>
    </w:p>
    <w:p>
      <w:r>
        <w:t xml:space="preserve">Ukupni prihodi evidentirani na izvoru financiranja 563 iznosili su 149.597,30 eura, dok su rashodi poslovanja iznosili 88.708,48 EUR, a rashodi za nabavu nefinancijske imovine 68.069,33 EUR.  U izvanbilančnim zapisima na izvoru 563 evidentirana su potraživanja po preuzetim ugovorima o dodjeljenim bespovratnim sredstavima iz EU fondova u iznosu od 1.616.124,14 EUR.</w:t>
      </w:r>
    </w:p>
    <w:p>
      <w:r>
        <w:t xml:space="preserve">Na izvoru 581 evidentiran je projekt financiran iz NPOO-a. projekt je završen u 2025. godini. Ukupni prihodi iznosili su 383.528,57 EUR, dok su ukupni rashodi iznosili 369.474,57 EUR. Tijekom provedbe projekta nije bilo obveze za izvještavanje kroz ZNS-ove.</w:t>
      </w:r>
    </w:p>
    <w:p/>
  </w:body>
</w:document>
</file>

<file path=word/styles.xml><?xml version="1.0" encoding="utf-8"?>
<w:styles xmlns:w="http://schemas.openxmlformats.org/wordprocessingml/2006/main">
  <w:docDefaults>
    <w:rPrDefault>
      <w:rPr>
        <w:rFonts w:ascii="Times New Roman" w:hAnsi="Times New Roman"/>
        <w:sz w:val="24"/>
      </w:rPr>
    </w:rPrDefault>
  </w:docDefaults>
  <w:style w:type="paragraph" w:styleId="Normal" w:default="true">
    <w:name w:val="Normal"/>
    <w:rPr>
      <w:rFonts w:ascii="Times New Roman" w:hAnsi="Times New Roman"/>
      <w:sz w:val="24"/>
    </w:rPr>
  </w:style>
</w:styles>
</file>

<file path=word/_rels/document.xml.rels>&#65279;<?xml version="1.0" encoding="utf-8"?><Relationships xmlns="http://schemas.openxmlformats.org/package/2006/relationships"><Relationship Type="http://schemas.openxmlformats.org/officeDocument/2006/relationships/styles" Target="/word/styles.xml" Id="Rc73f2aac9aec45ea" /></Relationships>
</file>